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jc w:val="center"/>
        <w:textAlignment w:val="auto"/>
        <w:rPr>
          <w:rFonts w:hint="eastAsia" w:ascii="方正小标宋_GBK" w:eastAsia="方正小标宋_GBK"/>
          <w:sz w:val="44"/>
          <w:szCs w:val="44"/>
        </w:rPr>
      </w:pPr>
      <w:bookmarkStart w:id="0" w:name="_GoBack"/>
      <w:bookmarkEnd w:id="0"/>
      <w:r>
        <w:rPr>
          <w:rFonts w:hint="eastAsia" w:ascii="方正小标宋_GBK" w:eastAsia="方正小标宋_GBK"/>
          <w:sz w:val="44"/>
          <w:szCs w:val="44"/>
          <w:lang w:eastAsia="zh-CN"/>
        </w:rPr>
        <w:t>市</w:t>
      </w:r>
      <w:r>
        <w:rPr>
          <w:rFonts w:hint="eastAsia" w:ascii="方正小标宋_GBK" w:eastAsia="方正小标宋_GBK"/>
          <w:sz w:val="44"/>
          <w:szCs w:val="44"/>
          <w:lang w:val="en-US" w:eastAsia="zh-CN"/>
        </w:rPr>
        <w:t>农业农村局</w:t>
      </w:r>
      <w:r>
        <w:rPr>
          <w:rFonts w:hint="eastAsia" w:ascii="方正小标宋_GBK" w:eastAsia="方正小标宋_GBK"/>
          <w:sz w:val="44"/>
          <w:szCs w:val="44"/>
        </w:rPr>
        <w:t>权责清单即时动态调整情况表</w:t>
      </w:r>
    </w:p>
    <w:p>
      <w:pPr>
        <w:spacing w:line="400" w:lineRule="exact"/>
        <w:ind w:right="641"/>
        <w:rPr>
          <w:rFonts w:eastAsia="方正仿宋_GBK"/>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eastAsia="仿宋_GB2312"/>
          <w:bCs/>
          <w:color w:val="auto"/>
          <w:kern w:val="21"/>
          <w:sz w:val="32"/>
          <w:szCs w:val="32"/>
          <w:highlight w:val="none"/>
          <w:lang w:val="en-US" w:eastAsia="zh-CN"/>
        </w:rPr>
      </w:pPr>
      <w:r>
        <w:rPr>
          <w:rFonts w:hint="eastAsia" w:eastAsia="仿宋_GB2312"/>
          <w:bCs/>
          <w:color w:val="auto"/>
          <w:kern w:val="21"/>
          <w:sz w:val="32"/>
          <w:szCs w:val="32"/>
          <w:highlight w:val="none"/>
          <w:lang w:val="en-US" w:eastAsia="zh-CN"/>
        </w:rPr>
        <w:t xml:space="preserve">   </w:t>
      </w:r>
    </w:p>
    <w:tbl>
      <w:tblPr>
        <w:tblStyle w:val="7"/>
        <w:tblW w:w="14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33"/>
        <w:gridCol w:w="1134"/>
        <w:gridCol w:w="1350"/>
        <w:gridCol w:w="5150"/>
        <w:gridCol w:w="716"/>
        <w:gridCol w:w="423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4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权力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类型</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权力</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名称</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51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  施  依  据</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调整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类型</w:t>
            </w:r>
          </w:p>
        </w:tc>
        <w:tc>
          <w:tcPr>
            <w:tcW w:w="42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调整意见及理由</w:t>
            </w:r>
          </w:p>
        </w:tc>
        <w:tc>
          <w:tcPr>
            <w:tcW w:w="4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8" w:hRule="atLeast"/>
          <w:tblHeader/>
          <w:jc w:val="center"/>
        </w:trPr>
        <w:tc>
          <w:tcPr>
            <w:tcW w:w="4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733"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拖拉机驾驶培训机构资格认定</w:t>
            </w:r>
          </w:p>
        </w:tc>
        <w:tc>
          <w:tcPr>
            <w:tcW w:w="1350" w:type="dxa"/>
            <w:noWrap w:val="0"/>
            <w:vAlign w:val="center"/>
          </w:tcPr>
          <w:p>
            <w:pPr>
              <w:jc w:val="left"/>
              <w:rPr>
                <w:rFonts w:hint="eastAsia" w:ascii="仿宋_GB2312" w:hAnsi="仿宋_GB2312" w:eastAsia="仿宋_GB2312" w:cs="仿宋_GB2312"/>
                <w:color w:val="000000"/>
                <w:kern w:val="0"/>
                <w:sz w:val="18"/>
                <w:szCs w:val="18"/>
              </w:rPr>
            </w:pPr>
          </w:p>
        </w:tc>
        <w:tc>
          <w:tcPr>
            <w:tcW w:w="5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1.《中华人民共和国道路交通安全法》第二十条：机动车的驾驶培训实行社会化，由交通主管部门对驾驶培训学校、驾驶培训班实行资格管理，其中专门的拖拉机驾驶培训学校、驾驶培训班由农业（农业机械）主管部门实行资格管理。驾驶培训学校、驾驶培训班应当严格按照国家有关规定，对学员进行道路交通安全法律、法规、驾驶技能的培训，确保培训质量。任何国家机关以及驾驶培训和考试主管部门不得举办或者参与举办驾驶培训学校、驾驶培训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拖拉机驾驶培训管理办法》第五条：拖拉机驾驶培训机构应当具备与其培训活动相适应的场地、设备、人员、规章制度等条件，取得省级人民政府农机主管部门颁发的《中华人民共和国拖拉机驾驶培训许可证》，方可从事相关培训活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3.《安徽省人民政府关于公布省级行政审批项目清理结果的决定》（省政府令第245号）将“拖拉机驾驶员培训机构资格认定”下放设区的市农业（农机）主管部门。</w:t>
            </w:r>
          </w:p>
        </w:tc>
        <w:tc>
          <w:tcPr>
            <w:tcW w:w="71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取消</w:t>
            </w:r>
          </w:p>
        </w:tc>
        <w:tc>
          <w:tcPr>
            <w:tcW w:w="4234"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根据《关于印发&lt;安徽省深化“证照分离”改革进一步激发市场主体发展活力实施方案&gt;的通知》（皖政〔2021〕39号），附件1《安徽省“证照分离”改革涉企经营许可事项清单（全省2021年版）》第28条，具体改革举措：取消“拖拉机驾驶培训学校、驾驶培训班资格认定”。</w:t>
            </w:r>
          </w:p>
        </w:tc>
        <w:tc>
          <w:tcPr>
            <w:tcW w:w="4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4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序号</w:t>
            </w:r>
          </w:p>
        </w:tc>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权力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类型</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权力</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名称</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子项</w:t>
            </w:r>
          </w:p>
        </w:tc>
        <w:tc>
          <w:tcPr>
            <w:tcW w:w="51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实  施  依  据</w:t>
            </w:r>
          </w:p>
        </w:tc>
        <w:tc>
          <w:tcPr>
            <w:tcW w:w="71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调整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类型</w:t>
            </w:r>
          </w:p>
        </w:tc>
        <w:tc>
          <w:tcPr>
            <w:tcW w:w="423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color w:val="000000"/>
                <w:kern w:val="0"/>
                <w:sz w:val="24"/>
                <w:szCs w:val="24"/>
              </w:rPr>
              <w:t>调整意见及理由</w:t>
            </w:r>
          </w:p>
        </w:tc>
        <w:tc>
          <w:tcPr>
            <w:tcW w:w="4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41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73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对未取得培训许可擅自从事拖拉机驾驶培训业务等三类行为的处罚</w:t>
            </w:r>
          </w:p>
        </w:tc>
        <w:tc>
          <w:tcPr>
            <w:tcW w:w="13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i w:val="0"/>
                <w:iCs w:val="0"/>
                <w:color w:val="000000"/>
                <w:kern w:val="0"/>
                <w:sz w:val="18"/>
                <w:szCs w:val="18"/>
                <w:u w:val="none"/>
                <w:lang w:val="en-US" w:eastAsia="zh-CN" w:bidi="ar"/>
              </w:rPr>
              <w:t>对未取得培训许可擅自从事拖拉机驾驶培训业务的处罚</w:t>
            </w:r>
          </w:p>
        </w:tc>
        <w:tc>
          <w:tcPr>
            <w:tcW w:w="5150" w:type="dxa"/>
            <w:vMerge w:val="restar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安徽省农业机械化促进条例》第三十九条：违反本条例第二十条第一款规定，未取得驾驶培训许可证擅自从事拖拉机驾驶培训活动的，由县级以上地方人民政府农业机械行政主管部门责令停止培训活动，没收违法所得，并处以违法所得1倍以上3倍以下的罚款；没有违法所得的，处以2000元以上1万元以下的罚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拖拉机驾驶培训管理办法》第二十四条：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二）未按统一的教学计划、教学大纲和规定教材进行培训的，责令改正，处二千元以下罚款；（三）聘用未经省级人民政府农机主管部门考核合格的人员从事拖拉机驾驶员培训教学工作的，责令改正，处五千元以下罚款。</w:t>
            </w:r>
          </w:p>
        </w:tc>
        <w:tc>
          <w:tcPr>
            <w:tcW w:w="716"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取消</w:t>
            </w:r>
          </w:p>
        </w:tc>
        <w:tc>
          <w:tcPr>
            <w:tcW w:w="4234" w:type="dxa"/>
            <w:vMerge w:val="restar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根据《关于印发&lt;安徽省深化“证照分离”改革进一步激发市场主体发展活力实施方案&gt;的通知》（皖政〔2021〕39号）,附件1《安徽省“证照分离”改革涉企经营许可事项清单（全省2021年版）》第28条，具体改革举措：取消“拖拉机驾驶培训学校、驾驶培训班资格认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1.将事项名称修改为：“对未按统一的教学计划、教学大纲和规定教材进行培训等二类行为的处罚”。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2.取消第1个子项。</w:t>
            </w:r>
            <w:r>
              <w:rPr>
                <w:rFonts w:hint="eastAsia" w:ascii="仿宋_GB2312" w:hAnsi="仿宋_GB2312" w:eastAsia="仿宋_GB2312" w:cs="仿宋_GB2312"/>
                <w:i w:val="0"/>
                <w:iCs w:val="0"/>
                <w:color w:val="000000"/>
                <w:kern w:val="0"/>
                <w:sz w:val="18"/>
                <w:szCs w:val="18"/>
                <w:u w:val="none"/>
                <w:lang w:val="en-US" w:eastAsia="zh-CN" w:bidi="ar"/>
              </w:rPr>
              <w:br w:type="textWrapping"/>
            </w:r>
          </w:p>
        </w:tc>
        <w:tc>
          <w:tcPr>
            <w:tcW w:w="4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417" w:type="dxa"/>
            <w:vMerge w:val="continue"/>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kern w:val="0"/>
                <w:sz w:val="20"/>
                <w:szCs w:val="20"/>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34"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3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对未按统一的教学计划、教学大纲和规定教材进行培训的处罚</w:t>
            </w:r>
          </w:p>
        </w:tc>
        <w:tc>
          <w:tcPr>
            <w:tcW w:w="5150" w:type="dxa"/>
            <w:vMerge w:val="continue"/>
            <w:noWrap w:val="0"/>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716" w:type="dxa"/>
            <w:vMerge w:val="continue"/>
            <w:noWrap w:val="0"/>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234" w:type="dxa"/>
            <w:vMerge w:val="continue"/>
            <w:noWrap w:val="0"/>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4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417" w:type="dxa"/>
            <w:vMerge w:val="continue"/>
            <w:noWrap w:val="0"/>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kern w:val="0"/>
                <w:sz w:val="20"/>
                <w:szCs w:val="20"/>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134"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3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对聘用未经省级人民政府农机主管部门考核合格的人员从事拖拉机驾驶员培训教学工作的处罚</w:t>
            </w:r>
          </w:p>
        </w:tc>
        <w:tc>
          <w:tcPr>
            <w:tcW w:w="5150" w:type="dxa"/>
            <w:vMerge w:val="continue"/>
            <w:noWrap w:val="0"/>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716" w:type="dxa"/>
            <w:vMerge w:val="continue"/>
            <w:noWrap w:val="0"/>
            <w:vAlign w:val="center"/>
          </w:tcPr>
          <w:p>
            <w:pPr>
              <w:jc w:val="center"/>
              <w:rPr>
                <w:rFonts w:hint="eastAsia" w:ascii="宋体" w:hAnsi="宋体" w:eastAsia="宋体" w:cs="宋体"/>
                <w:i w:val="0"/>
                <w:iCs w:val="0"/>
                <w:color w:val="000000"/>
                <w:kern w:val="0"/>
                <w:sz w:val="16"/>
                <w:szCs w:val="16"/>
                <w:u w:val="none"/>
                <w:lang w:val="en-US" w:eastAsia="zh-CN" w:bidi="ar"/>
              </w:rPr>
            </w:pPr>
          </w:p>
        </w:tc>
        <w:tc>
          <w:tcPr>
            <w:tcW w:w="4234" w:type="dxa"/>
            <w:vMerge w:val="continue"/>
            <w:noWrap w:val="0"/>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4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eastAsia="仿宋_GB2312"/>
          <w:bCs/>
          <w:color w:val="auto"/>
          <w:kern w:val="21"/>
          <w:sz w:val="32"/>
          <w:szCs w:val="32"/>
          <w:highlight w:val="none"/>
          <w:lang w:val="en-US" w:eastAsia="zh-CN"/>
        </w:rPr>
      </w:pPr>
    </w:p>
    <w:sectPr>
      <w:footerReference r:id="rId3"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1CD"/>
    <w:rsid w:val="00253DEA"/>
    <w:rsid w:val="00B0136C"/>
    <w:rsid w:val="01DF5E0D"/>
    <w:rsid w:val="021F7FBA"/>
    <w:rsid w:val="028325CB"/>
    <w:rsid w:val="03406880"/>
    <w:rsid w:val="03D0767E"/>
    <w:rsid w:val="044255BD"/>
    <w:rsid w:val="05005350"/>
    <w:rsid w:val="0593429E"/>
    <w:rsid w:val="069410D2"/>
    <w:rsid w:val="072D188F"/>
    <w:rsid w:val="07870BEB"/>
    <w:rsid w:val="079E5777"/>
    <w:rsid w:val="0829779B"/>
    <w:rsid w:val="082D56D4"/>
    <w:rsid w:val="091E2E5E"/>
    <w:rsid w:val="0B4404C4"/>
    <w:rsid w:val="0BAA2409"/>
    <w:rsid w:val="0C2C1C3E"/>
    <w:rsid w:val="0E1F625C"/>
    <w:rsid w:val="0E2A6B67"/>
    <w:rsid w:val="0E5B2157"/>
    <w:rsid w:val="0FAB391A"/>
    <w:rsid w:val="0FEA6D93"/>
    <w:rsid w:val="10F832A3"/>
    <w:rsid w:val="116F1AE6"/>
    <w:rsid w:val="11E75881"/>
    <w:rsid w:val="123E3DD3"/>
    <w:rsid w:val="131050B0"/>
    <w:rsid w:val="133C5FEE"/>
    <w:rsid w:val="142D2BFF"/>
    <w:rsid w:val="159300AF"/>
    <w:rsid w:val="162B44D2"/>
    <w:rsid w:val="174118A4"/>
    <w:rsid w:val="17550BFE"/>
    <w:rsid w:val="186F5A9F"/>
    <w:rsid w:val="18DB3CCA"/>
    <w:rsid w:val="18E353D5"/>
    <w:rsid w:val="19B9381B"/>
    <w:rsid w:val="1B353589"/>
    <w:rsid w:val="1B4D043A"/>
    <w:rsid w:val="1B9223AE"/>
    <w:rsid w:val="1D3629D1"/>
    <w:rsid w:val="1DAF77EC"/>
    <w:rsid w:val="1EB5674D"/>
    <w:rsid w:val="1EC07F77"/>
    <w:rsid w:val="1FCF3CA2"/>
    <w:rsid w:val="20112CEE"/>
    <w:rsid w:val="218B2BEF"/>
    <w:rsid w:val="224D40A8"/>
    <w:rsid w:val="22637DCF"/>
    <w:rsid w:val="22A97BC2"/>
    <w:rsid w:val="23CB322F"/>
    <w:rsid w:val="23F36977"/>
    <w:rsid w:val="242973BC"/>
    <w:rsid w:val="247B5E0B"/>
    <w:rsid w:val="249061EE"/>
    <w:rsid w:val="25F708DF"/>
    <w:rsid w:val="26621B3D"/>
    <w:rsid w:val="26C83808"/>
    <w:rsid w:val="273E00CD"/>
    <w:rsid w:val="2868360A"/>
    <w:rsid w:val="28CF56C7"/>
    <w:rsid w:val="29861177"/>
    <w:rsid w:val="2A21510C"/>
    <w:rsid w:val="2A994CB3"/>
    <w:rsid w:val="2A9A75F9"/>
    <w:rsid w:val="2BC4642C"/>
    <w:rsid w:val="2CD25E89"/>
    <w:rsid w:val="2D983B91"/>
    <w:rsid w:val="2E8028AE"/>
    <w:rsid w:val="2ED04D23"/>
    <w:rsid w:val="2F1A7A35"/>
    <w:rsid w:val="2F973BCE"/>
    <w:rsid w:val="2FB52C16"/>
    <w:rsid w:val="300F37FD"/>
    <w:rsid w:val="30AC035A"/>
    <w:rsid w:val="326D3ADE"/>
    <w:rsid w:val="32BC4F5C"/>
    <w:rsid w:val="33805D18"/>
    <w:rsid w:val="344A0D96"/>
    <w:rsid w:val="34BD3CE9"/>
    <w:rsid w:val="358949DD"/>
    <w:rsid w:val="35C115A9"/>
    <w:rsid w:val="360E1D87"/>
    <w:rsid w:val="366244F2"/>
    <w:rsid w:val="366B5C6D"/>
    <w:rsid w:val="36D3617E"/>
    <w:rsid w:val="37A07307"/>
    <w:rsid w:val="381F375A"/>
    <w:rsid w:val="3839688C"/>
    <w:rsid w:val="3AB4047B"/>
    <w:rsid w:val="3CFE1943"/>
    <w:rsid w:val="3D00194D"/>
    <w:rsid w:val="3E7667A1"/>
    <w:rsid w:val="40431C7F"/>
    <w:rsid w:val="40D02519"/>
    <w:rsid w:val="40E134CF"/>
    <w:rsid w:val="40F65816"/>
    <w:rsid w:val="415506EA"/>
    <w:rsid w:val="41A71563"/>
    <w:rsid w:val="41C707CD"/>
    <w:rsid w:val="423F0490"/>
    <w:rsid w:val="43684440"/>
    <w:rsid w:val="439224CD"/>
    <w:rsid w:val="43CE64A1"/>
    <w:rsid w:val="45BD346C"/>
    <w:rsid w:val="47F271FA"/>
    <w:rsid w:val="485246CB"/>
    <w:rsid w:val="48FE26DD"/>
    <w:rsid w:val="490F0E0F"/>
    <w:rsid w:val="4A8E6E44"/>
    <w:rsid w:val="4AF03029"/>
    <w:rsid w:val="4CCA5218"/>
    <w:rsid w:val="4EF7785E"/>
    <w:rsid w:val="50344510"/>
    <w:rsid w:val="5152617F"/>
    <w:rsid w:val="516F0D03"/>
    <w:rsid w:val="51701D14"/>
    <w:rsid w:val="52D4029B"/>
    <w:rsid w:val="5355415A"/>
    <w:rsid w:val="53D33B35"/>
    <w:rsid w:val="55D86220"/>
    <w:rsid w:val="564F11F4"/>
    <w:rsid w:val="56E87A94"/>
    <w:rsid w:val="574B0317"/>
    <w:rsid w:val="57925AB5"/>
    <w:rsid w:val="57A54401"/>
    <w:rsid w:val="592C1061"/>
    <w:rsid w:val="59661030"/>
    <w:rsid w:val="597F5FEF"/>
    <w:rsid w:val="59BD5AB7"/>
    <w:rsid w:val="5AB80E1C"/>
    <w:rsid w:val="5B765244"/>
    <w:rsid w:val="5BC33BCA"/>
    <w:rsid w:val="5BF221A2"/>
    <w:rsid w:val="5C63012B"/>
    <w:rsid w:val="5D375DDC"/>
    <w:rsid w:val="5ECD6BDB"/>
    <w:rsid w:val="5EFF000B"/>
    <w:rsid w:val="60B048A1"/>
    <w:rsid w:val="61813EA7"/>
    <w:rsid w:val="61BF5EDC"/>
    <w:rsid w:val="61CF71E4"/>
    <w:rsid w:val="636F6DE0"/>
    <w:rsid w:val="639B4A21"/>
    <w:rsid w:val="64165E8B"/>
    <w:rsid w:val="649228F4"/>
    <w:rsid w:val="64DB3451"/>
    <w:rsid w:val="64E9765C"/>
    <w:rsid w:val="64F72FDC"/>
    <w:rsid w:val="66BD7832"/>
    <w:rsid w:val="675605F9"/>
    <w:rsid w:val="682C40E3"/>
    <w:rsid w:val="68BA3853"/>
    <w:rsid w:val="68DB2868"/>
    <w:rsid w:val="69F473EE"/>
    <w:rsid w:val="6AE2256A"/>
    <w:rsid w:val="6BB75646"/>
    <w:rsid w:val="6DD31639"/>
    <w:rsid w:val="7099295C"/>
    <w:rsid w:val="71502284"/>
    <w:rsid w:val="71AD1A11"/>
    <w:rsid w:val="72B473B8"/>
    <w:rsid w:val="73FC1566"/>
    <w:rsid w:val="74AE6980"/>
    <w:rsid w:val="760C50B1"/>
    <w:rsid w:val="7A2E271A"/>
    <w:rsid w:val="7A572789"/>
    <w:rsid w:val="7D9B666F"/>
    <w:rsid w:val="7DE47DA3"/>
    <w:rsid w:val="7F02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page number"/>
    <w:basedOn w:val="8"/>
    <w:qFormat/>
    <w:uiPriority w:val="0"/>
  </w:style>
  <w:style w:type="character" w:customStyle="1" w:styleId="10">
    <w:name w:val="font1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2018-04-13T08:45:00Z</dcterms:created>
  <dc:creator>FMH</dc:creator>
  <cp:lastModifiedBy>吴婷婷</cp:lastModifiedBy>
  <cp:lastPrinted>2022-01-07T08:05:38Z</cp:lastPrinted>
  <dcterms:modified xsi:type="dcterms:W3CDTF">2022-01-07T08:36:47Z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F3EEEE00376A483FA9530404B4E12478</vt:lpwstr>
  </property>
</Properties>
</file>